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2E2CA" w14:textId="52FB96EA" w:rsidR="00B26F66" w:rsidRDefault="003206A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highlight w:val="yellow"/>
        </w:rPr>
        <w:t>A</w:t>
      </w:r>
      <w:r w:rsidRPr="00B26F66">
        <w:rPr>
          <w:b/>
          <w:bCs/>
          <w:sz w:val="32"/>
          <w:szCs w:val="32"/>
          <w:highlight w:val="yellow"/>
        </w:rPr>
        <w:t xml:space="preserve">m </w:t>
      </w:r>
      <w:r w:rsidR="00123BB9">
        <w:rPr>
          <w:b/>
          <w:bCs/>
          <w:sz w:val="32"/>
          <w:szCs w:val="32"/>
          <w:highlight w:val="yellow"/>
        </w:rPr>
        <w:t>[Tag einfügen]</w:t>
      </w:r>
      <w:r w:rsidRPr="00B26F66">
        <w:rPr>
          <w:b/>
          <w:bCs/>
          <w:sz w:val="32"/>
          <w:szCs w:val="32"/>
          <w:highlight w:val="yellow"/>
        </w:rPr>
        <w:t xml:space="preserve"> in </w:t>
      </w:r>
      <w:r w:rsidR="00123BB9">
        <w:rPr>
          <w:b/>
          <w:bCs/>
          <w:sz w:val="32"/>
          <w:szCs w:val="32"/>
          <w:highlight w:val="yellow"/>
        </w:rPr>
        <w:t>[Ort einfügen]</w:t>
      </w:r>
      <w:r w:rsidR="00123BB9">
        <w:rPr>
          <w:b/>
          <w:bCs/>
          <w:sz w:val="32"/>
          <w:szCs w:val="32"/>
        </w:rPr>
        <w:t>:</w:t>
      </w:r>
      <w:r>
        <w:rPr>
          <w:b/>
          <w:bCs/>
          <w:sz w:val="32"/>
          <w:szCs w:val="32"/>
        </w:rPr>
        <w:t xml:space="preserve"> </w:t>
      </w:r>
      <w:r w:rsidR="00B26F66" w:rsidRPr="00B26F66">
        <w:rPr>
          <w:b/>
          <w:bCs/>
          <w:sz w:val="32"/>
          <w:szCs w:val="32"/>
        </w:rPr>
        <w:t xml:space="preserve">Gemeinsam essen </w:t>
      </w:r>
      <w:r>
        <w:rPr>
          <w:b/>
          <w:bCs/>
          <w:sz w:val="32"/>
          <w:szCs w:val="32"/>
        </w:rPr>
        <w:br/>
      </w:r>
      <w:r w:rsidR="00B26F66" w:rsidRPr="00B26F66">
        <w:rPr>
          <w:b/>
          <w:bCs/>
          <w:sz w:val="32"/>
          <w:szCs w:val="32"/>
        </w:rPr>
        <w:t>– gemeinsam engagieren</w:t>
      </w:r>
    </w:p>
    <w:p w14:paraId="7BFD683C" w14:textId="7E903453" w:rsidR="00B26F66" w:rsidRDefault="00B26F66">
      <w:pPr>
        <w:rPr>
          <w:sz w:val="24"/>
          <w:szCs w:val="24"/>
        </w:rPr>
      </w:pPr>
      <w:r>
        <w:rPr>
          <w:sz w:val="24"/>
          <w:szCs w:val="24"/>
        </w:rPr>
        <w:t>Solidaritätstafeln verlangen soziale Gerechtigkeit</w:t>
      </w:r>
    </w:p>
    <w:p w14:paraId="266D605C" w14:textId="77777777" w:rsidR="00123BB9" w:rsidRDefault="00B26F66">
      <w:r w:rsidRPr="00B26F66">
        <w:rPr>
          <w:highlight w:val="yellow"/>
        </w:rPr>
        <w:t>YYY, XX.XX. 2022</w:t>
      </w:r>
      <w:r>
        <w:t xml:space="preserve">. Am </w:t>
      </w:r>
      <w:r w:rsidRPr="00B26F66">
        <w:rPr>
          <w:highlight w:val="yellow"/>
        </w:rPr>
        <w:t>XX</w:t>
      </w:r>
      <w:r>
        <w:t xml:space="preserve">. wird der </w:t>
      </w:r>
      <w:r w:rsidRPr="00B26F66">
        <w:rPr>
          <w:highlight w:val="yellow"/>
        </w:rPr>
        <w:t>YY</w:t>
      </w:r>
      <w:r w:rsidR="003206A7">
        <w:rPr>
          <w:highlight w:val="yellow"/>
        </w:rPr>
        <w:t>-</w:t>
      </w:r>
      <w:r w:rsidRPr="00B26F66">
        <w:rPr>
          <w:highlight w:val="yellow"/>
        </w:rPr>
        <w:t>Platz/die YY-Straße</w:t>
      </w:r>
      <w:r w:rsidR="003206A7">
        <w:t xml:space="preserve"> in </w:t>
      </w:r>
      <w:r w:rsidR="003206A7" w:rsidRPr="003206A7">
        <w:rPr>
          <w:highlight w:val="yellow"/>
        </w:rPr>
        <w:t>YYY</w:t>
      </w:r>
      <w:r>
        <w:t xml:space="preserve"> zur Tafel</w:t>
      </w:r>
      <w:r w:rsidR="00D8513A">
        <w:t xml:space="preserve"> für Solidarität. </w:t>
      </w:r>
    </w:p>
    <w:p w14:paraId="7D34601D" w14:textId="2D1A88DC" w:rsidR="00B26F66" w:rsidRDefault="00B26F66">
      <w:r>
        <w:t xml:space="preserve">Die </w:t>
      </w:r>
      <w:proofErr w:type="spellStart"/>
      <w:r>
        <w:t>Organisator:innen</w:t>
      </w:r>
      <w:proofErr w:type="spellEnd"/>
      <w:r>
        <w:t xml:space="preserve"> der </w:t>
      </w:r>
      <w:r w:rsidR="00123BB9" w:rsidRPr="004D653F">
        <w:rPr>
          <w:highlight w:val="yellow"/>
        </w:rPr>
        <w:t>[Veranstalter einfügen]</w:t>
      </w:r>
      <w:r>
        <w:t xml:space="preserve"> </w:t>
      </w:r>
      <w:r w:rsidR="003206A7">
        <w:t>decken dort</w:t>
      </w:r>
      <w:r w:rsidR="00DD5DD5">
        <w:t xml:space="preserve"> Tische</w:t>
      </w:r>
      <w:r w:rsidR="003206A7">
        <w:t xml:space="preserve"> ein</w:t>
      </w:r>
      <w:r>
        <w:t xml:space="preserve">, um sich an </w:t>
      </w:r>
      <w:r w:rsidR="00D8513A">
        <w:t>einer</w:t>
      </w:r>
      <w:r>
        <w:t xml:space="preserve"> Aktion des Bistums Hildesheim zum </w:t>
      </w:r>
      <w:proofErr w:type="spellStart"/>
      <w:r>
        <w:t>Godehardjahr</w:t>
      </w:r>
      <w:proofErr w:type="spellEnd"/>
      <w:r>
        <w:t xml:space="preserve"> zu beteiligen. </w:t>
      </w:r>
      <w:r w:rsidR="00D8513A">
        <w:t>Von</w:t>
      </w:r>
      <w:r>
        <w:t xml:space="preserve"> Cuxhaven bis Duderstadt werden bis zum Herbst Solidaritätstafeln aufgestellt. Dort nehmen Menschen Platz, essen und trinken gemeinsam und </w:t>
      </w:r>
      <w:r w:rsidR="00D8513A">
        <w:t>haben die Gelegenheit, sich über</w:t>
      </w:r>
      <w:r>
        <w:t xml:space="preserve"> Forderungen für mehr soziale Gerechtigkeit aus</w:t>
      </w:r>
      <w:r w:rsidR="00D8513A">
        <w:t>zutauschen</w:t>
      </w:r>
      <w:r>
        <w:t>. Mitveranstalter ist der Caritasverband für das Bistum Hildesheim</w:t>
      </w:r>
      <w:r w:rsidR="00D8513A">
        <w:t>. F</w:t>
      </w:r>
      <w:r w:rsidR="003206A7">
        <w:t xml:space="preserve">inanziell </w:t>
      </w:r>
      <w:r>
        <w:t xml:space="preserve">gefördert wird die Aktion von der Klosterkammer Hannover. </w:t>
      </w:r>
    </w:p>
    <w:p w14:paraId="5DD182ED" w14:textId="18453C30" w:rsidR="00B26F66" w:rsidRDefault="00B26F66">
      <w:r>
        <w:t>„Bischof Godehard war der Einsatz für die Armen schon vor 1.000 Jahren ein wichtiges Anliegen. Diese</w:t>
      </w:r>
      <w:r w:rsidR="002E77DB">
        <w:t>n</w:t>
      </w:r>
      <w:r>
        <w:t xml:space="preserve"> Faden nehmen wir mit den Solidaritätstafeln au</w:t>
      </w:r>
      <w:r w:rsidR="003206A7">
        <w:t>f</w:t>
      </w:r>
      <w:r>
        <w:t xml:space="preserve">“, sagt </w:t>
      </w:r>
      <w:r w:rsidR="00123BB9">
        <w:rPr>
          <w:highlight w:val="yellow"/>
        </w:rPr>
        <w:t>[O-Ton-Geber/lokale, beteiligte Person einfügen]</w:t>
      </w:r>
      <w:r w:rsidR="000D7C43">
        <w:rPr>
          <w:highlight w:val="yellow"/>
        </w:rPr>
        <w:t>.</w:t>
      </w:r>
      <w:r w:rsidR="001C1EB7">
        <w:rPr>
          <w:highlight w:val="yellow"/>
        </w:rPr>
        <w:t xml:space="preserve"> </w:t>
      </w:r>
      <w:r w:rsidR="001C1EB7">
        <w:t xml:space="preserve"> “</w:t>
      </w:r>
      <w:r w:rsidR="00123BB9">
        <w:rPr>
          <w:highlight w:val="yellow"/>
        </w:rPr>
        <w:t xml:space="preserve">[Weiteren O-Ton einfügen, etwa: Mit unserer Solidaritätstafeln möchten wir darauf aufmerksam machen, dass… / </w:t>
      </w:r>
      <w:r w:rsidR="001C1EB7">
        <w:rPr>
          <w:highlight w:val="yellow"/>
        </w:rPr>
        <w:t xml:space="preserve">Wir erwarten am XXX rund </w:t>
      </w:r>
      <w:proofErr w:type="spellStart"/>
      <w:r w:rsidR="001C1EB7">
        <w:rPr>
          <w:highlight w:val="yellow"/>
        </w:rPr>
        <w:t>xxxx</w:t>
      </w:r>
      <w:proofErr w:type="spellEnd"/>
      <w:r w:rsidR="001C1EB7">
        <w:rPr>
          <w:highlight w:val="yellow"/>
        </w:rPr>
        <w:t xml:space="preserve"> Gäste</w:t>
      </w:r>
      <w:r w:rsidR="00123BB9">
        <w:rPr>
          <w:highlight w:val="yellow"/>
        </w:rPr>
        <w:t>“</w:t>
      </w:r>
      <w:r w:rsidR="00123BB9">
        <w:t xml:space="preserve">, </w:t>
      </w:r>
      <w:r w:rsidR="00123BB9" w:rsidRPr="00123BB9">
        <w:rPr>
          <w:highlight w:val="yellow"/>
        </w:rPr>
        <w:t>sagt XY.</w:t>
      </w:r>
      <w:r w:rsidR="001C1EB7">
        <w:t xml:space="preserve"> </w:t>
      </w:r>
    </w:p>
    <w:p w14:paraId="59307A4E" w14:textId="284E1BBB" w:rsidR="00B70D2B" w:rsidRDefault="00DD5DD5" w:rsidP="00E03AC3">
      <w:pPr>
        <w:rPr>
          <w:rFonts w:eastAsia="Times New Roman"/>
        </w:rPr>
      </w:pPr>
      <w:r>
        <w:t xml:space="preserve">Die Solidaritätstafeln sind wichtiger Bestandteil des </w:t>
      </w:r>
      <w:proofErr w:type="spellStart"/>
      <w:r>
        <w:t>Godehardjahres</w:t>
      </w:r>
      <w:proofErr w:type="spellEnd"/>
      <w:r>
        <w:t xml:space="preserve"> im Bistum Hildesheim.</w:t>
      </w:r>
      <w:r w:rsidR="003206A7">
        <w:t xml:space="preserve"> Das </w:t>
      </w:r>
      <w:proofErr w:type="spellStart"/>
      <w:r w:rsidR="003206A7">
        <w:t>Godehardjahr</w:t>
      </w:r>
      <w:proofErr w:type="spellEnd"/>
      <w:r w:rsidR="003206A7">
        <w:t xml:space="preserve"> </w:t>
      </w:r>
      <w:r w:rsidR="00E03AC3">
        <w:t xml:space="preserve">fällt zusammen mit </w:t>
      </w:r>
      <w:r w:rsidR="00E03AC3" w:rsidRPr="00D12A83">
        <w:t>den anstehenden Landtagswahlen</w:t>
      </w:r>
      <w:r w:rsidR="00E03AC3">
        <w:t xml:space="preserve"> </w:t>
      </w:r>
      <w:r w:rsidR="00D8513A">
        <w:t xml:space="preserve">in Niedersachsen </w:t>
      </w:r>
      <w:r w:rsidR="00E03AC3">
        <w:t xml:space="preserve">im Herbst. </w:t>
      </w:r>
      <w:r w:rsidR="000D7C43">
        <w:t>E</w:t>
      </w:r>
      <w:r w:rsidR="003206A7">
        <w:t xml:space="preserve">in Thema, das an vielen der Tafeln ausführlich diskutiert wird, ist die Spaltung der Gesellschaft in Arm und Reich, in Menschen, denen alles offensteht und </w:t>
      </w:r>
      <w:r>
        <w:t>diej</w:t>
      </w:r>
      <w:r w:rsidR="003206A7">
        <w:t xml:space="preserve">enigen, die zunehmend abgehängt werden. Konkret verlangen die </w:t>
      </w:r>
      <w:proofErr w:type="spellStart"/>
      <w:r w:rsidR="003206A7">
        <w:t>Veranstalter:innen</w:t>
      </w:r>
      <w:proofErr w:type="spellEnd"/>
      <w:r w:rsidR="003206A7">
        <w:t xml:space="preserve"> </w:t>
      </w:r>
      <w:r w:rsidR="006201CE">
        <w:t>eine sozial gerechte Energiepolitik und eine Kindergrundsicherung. Außerdem müss</w:t>
      </w:r>
      <w:r w:rsidR="002E77DB">
        <w:t>t</w:t>
      </w:r>
      <w:r w:rsidR="006201CE">
        <w:t xml:space="preserve">en </w:t>
      </w:r>
      <w:r w:rsidR="007A215A">
        <w:t>d</w:t>
      </w:r>
      <w:r w:rsidR="007A215A">
        <w:rPr>
          <w:rFonts w:eastAsia="Times New Roman"/>
        </w:rPr>
        <w:t>ie Leistungen, die das Jobcenter und das Sozialamt zahlen, so hoch sein, dass sie nicht nur die Existenz</w:t>
      </w:r>
      <w:r w:rsidR="00447313">
        <w:rPr>
          <w:rFonts w:eastAsia="Times New Roman"/>
        </w:rPr>
        <w:t xml:space="preserve"> </w:t>
      </w:r>
      <w:r w:rsidR="000D7C43">
        <w:rPr>
          <w:rFonts w:eastAsia="Times New Roman"/>
        </w:rPr>
        <w:t xml:space="preserve">– </w:t>
      </w:r>
      <w:r w:rsidR="007A215A">
        <w:rPr>
          <w:rFonts w:eastAsia="Times New Roman"/>
        </w:rPr>
        <w:t>also das nackte Überleben</w:t>
      </w:r>
      <w:r w:rsidR="00447313">
        <w:rPr>
          <w:rFonts w:eastAsia="Times New Roman"/>
        </w:rPr>
        <w:t xml:space="preserve"> </w:t>
      </w:r>
      <w:r w:rsidR="000D7C43">
        <w:rPr>
          <w:rFonts w:eastAsia="Times New Roman"/>
        </w:rPr>
        <w:t xml:space="preserve">– </w:t>
      </w:r>
      <w:r w:rsidR="007A215A">
        <w:rPr>
          <w:rFonts w:eastAsia="Times New Roman"/>
        </w:rPr>
        <w:t>sicher</w:t>
      </w:r>
      <w:r w:rsidR="002E77DB">
        <w:rPr>
          <w:rFonts w:eastAsia="Times New Roman"/>
        </w:rPr>
        <w:t>te</w:t>
      </w:r>
      <w:r w:rsidR="007A215A">
        <w:rPr>
          <w:rFonts w:eastAsia="Times New Roman"/>
        </w:rPr>
        <w:t>n, sondern auch ein gewisses Maß an Teilhabe an der Gesellschaft im sozialen und kulturellen Bereich</w:t>
      </w:r>
      <w:r w:rsidR="0050764D">
        <w:rPr>
          <w:rFonts w:eastAsia="Times New Roman"/>
        </w:rPr>
        <w:t xml:space="preserve">. </w:t>
      </w:r>
      <w:r w:rsidR="00B70D2B">
        <w:rPr>
          <w:rFonts w:eastAsia="Times New Roman"/>
        </w:rPr>
        <w:t>Menschen in der Langzeitarbeitslosigkeit</w:t>
      </w:r>
      <w:r w:rsidR="000D7C43">
        <w:rPr>
          <w:rFonts w:eastAsia="Times New Roman"/>
        </w:rPr>
        <w:t xml:space="preserve"> dürf</w:t>
      </w:r>
      <w:r w:rsidR="002E77DB">
        <w:rPr>
          <w:rFonts w:eastAsia="Times New Roman"/>
        </w:rPr>
        <w:t>t</w:t>
      </w:r>
      <w:r w:rsidR="000D7C43">
        <w:rPr>
          <w:rFonts w:eastAsia="Times New Roman"/>
        </w:rPr>
        <w:t>en</w:t>
      </w:r>
      <w:r w:rsidR="00B70D2B">
        <w:rPr>
          <w:rFonts w:eastAsia="Times New Roman"/>
        </w:rPr>
        <w:t xml:space="preserve"> zur Arbeit nicht genötigt werden, sie brauch</w:t>
      </w:r>
      <w:r w:rsidR="002E77DB">
        <w:rPr>
          <w:rFonts w:eastAsia="Times New Roman"/>
        </w:rPr>
        <w:t>t</w:t>
      </w:r>
      <w:r w:rsidR="00B70D2B">
        <w:rPr>
          <w:rFonts w:eastAsia="Times New Roman"/>
        </w:rPr>
        <w:t>en Ermutigung und Förderung</w:t>
      </w:r>
      <w:r w:rsidR="003039E7">
        <w:rPr>
          <w:rFonts w:eastAsia="Times New Roman"/>
        </w:rPr>
        <w:t xml:space="preserve">. </w:t>
      </w:r>
      <w:r w:rsidR="00954F3C">
        <w:rPr>
          <w:rFonts w:eastAsia="Times New Roman"/>
        </w:rPr>
        <w:t xml:space="preserve">Qualitativ hochwertige Kindertagesbetreuung, ausreichende Schulsozialarbeit, Lernmittelfreiheit </w:t>
      </w:r>
      <w:r w:rsidR="00BD5C37">
        <w:rPr>
          <w:rFonts w:eastAsia="Times New Roman"/>
        </w:rPr>
        <w:t>(</w:t>
      </w:r>
      <w:r w:rsidR="00954F3C">
        <w:rPr>
          <w:rFonts w:eastAsia="Times New Roman"/>
        </w:rPr>
        <w:t xml:space="preserve">auch </w:t>
      </w:r>
      <w:r w:rsidR="00BD5C37">
        <w:rPr>
          <w:rFonts w:eastAsia="Times New Roman"/>
        </w:rPr>
        <w:t xml:space="preserve">digital) </w:t>
      </w:r>
      <w:r w:rsidR="00954F3C">
        <w:rPr>
          <w:rFonts w:eastAsia="Times New Roman"/>
        </w:rPr>
        <w:t>und die Begleitung von Jugendlichen auf dem Weg von der Schule in den Beruf s</w:t>
      </w:r>
      <w:r w:rsidR="002E77DB">
        <w:rPr>
          <w:rFonts w:eastAsia="Times New Roman"/>
        </w:rPr>
        <w:t>eien</w:t>
      </w:r>
      <w:r w:rsidR="00954F3C">
        <w:rPr>
          <w:rFonts w:eastAsia="Times New Roman"/>
        </w:rPr>
        <w:t xml:space="preserve"> erforderlich, um allen die Chance auf eine Berufsausbildung zu eröffnen</w:t>
      </w:r>
      <w:r w:rsidR="00C76011">
        <w:rPr>
          <w:rFonts w:eastAsia="Times New Roman"/>
        </w:rPr>
        <w:t>.</w:t>
      </w:r>
    </w:p>
    <w:p w14:paraId="01244C36" w14:textId="58534DB5" w:rsidR="001C1EB7" w:rsidRPr="00D12A83" w:rsidRDefault="001C1EB7">
      <w:pPr>
        <w:rPr>
          <w:b/>
          <w:bCs/>
        </w:rPr>
      </w:pPr>
      <w:r w:rsidRPr="00D12A83">
        <w:rPr>
          <w:b/>
          <w:bCs/>
        </w:rPr>
        <w:t>Weitere Informationen:</w:t>
      </w:r>
    </w:p>
    <w:p w14:paraId="0ED8ECD4" w14:textId="1822B803" w:rsidR="001C1EB7" w:rsidRDefault="001C1EB7">
      <w:pPr>
        <w:rPr>
          <w:rStyle w:val="Hyperlink"/>
          <w:rFonts w:cs="Arial"/>
          <w:bdr w:val="none" w:sz="0" w:space="0" w:color="auto" w:frame="1"/>
          <w:shd w:val="clear" w:color="auto" w:fill="FFFFFF" w:themeFill="background1"/>
        </w:rPr>
      </w:pPr>
      <w:r>
        <w:t xml:space="preserve">Sie erreichen </w:t>
      </w:r>
      <w:r w:rsidR="00E03AC3" w:rsidRPr="00421B14">
        <w:rPr>
          <w:highlight w:val="yellow"/>
        </w:rPr>
        <w:t>BBB</w:t>
      </w:r>
      <w:r w:rsidR="00E03AC3">
        <w:t xml:space="preserve"> zur Solidaritätstafel in </w:t>
      </w:r>
      <w:r w:rsidR="00E03AC3" w:rsidRPr="00421B14">
        <w:rPr>
          <w:highlight w:val="yellow"/>
        </w:rPr>
        <w:t>YYY</w:t>
      </w:r>
      <w:r w:rsidR="00E03AC3">
        <w:t xml:space="preserve"> unter (Tel.: und E-Mail). </w:t>
      </w:r>
      <w:r w:rsidR="00E03AC3" w:rsidRPr="00E03AC3">
        <w:rPr>
          <w:highlight w:val="yellow"/>
        </w:rPr>
        <w:t>Eine Anmeldung für den XXX ist noch möglich unter ….</w:t>
      </w:r>
      <w:r w:rsidR="00DD5DD5">
        <w:t>[diesen Satz streichen, falls keine Anmeldung mehr möglich ist.]</w:t>
      </w:r>
      <w:r w:rsidR="00E03AC3">
        <w:br/>
      </w:r>
      <w:hyperlink r:id="rId6" w:history="1">
        <w:r w:rsidR="00E03AC3" w:rsidRPr="0089406B">
          <w:rPr>
            <w:rStyle w:val="Hyperlink"/>
          </w:rPr>
          <w:t>www.godehardjahr.de/solitafeln</w:t>
        </w:r>
      </w:hyperlink>
      <w:r w:rsidR="00E03AC3">
        <w:t>,</w:t>
      </w:r>
      <w:r w:rsidR="003039E7">
        <w:br/>
      </w:r>
      <w:r w:rsidR="00E03AC3">
        <w:t xml:space="preserve">E-Mail: </w:t>
      </w:r>
      <w:hyperlink r:id="rId7" w:history="1">
        <w:r w:rsidR="00E03AC3" w:rsidRPr="0089406B">
          <w:rPr>
            <w:rStyle w:val="Hyperlink"/>
            <w:rFonts w:cs="Arial"/>
            <w:bdr w:val="none" w:sz="0" w:space="0" w:color="auto" w:frame="1"/>
            <w:shd w:val="clear" w:color="auto" w:fill="FFFFFF" w:themeFill="background1"/>
          </w:rPr>
          <w:t>solitafeln@godehardjahr.de</w:t>
        </w:r>
      </w:hyperlink>
    </w:p>
    <w:p w14:paraId="4329F817" w14:textId="3C1F6398" w:rsidR="004D653F" w:rsidRDefault="004D653F">
      <w:pPr>
        <w:rPr>
          <w:rStyle w:val="Hyperlink"/>
          <w:rFonts w:cs="Arial"/>
          <w:bdr w:val="none" w:sz="0" w:space="0" w:color="auto" w:frame="1"/>
          <w:shd w:val="clear" w:color="auto" w:fill="FFFFFF" w:themeFill="background1"/>
        </w:rPr>
      </w:pPr>
    </w:p>
    <w:p w14:paraId="008DD303" w14:textId="1CCA6382" w:rsidR="004D653F" w:rsidRDefault="004D653F" w:rsidP="004D653F">
      <w:pPr>
        <w:ind w:right="-1276" w:hanging="709"/>
        <w:rPr>
          <w:noProof/>
        </w:rPr>
      </w:pPr>
    </w:p>
    <w:p w14:paraId="1B583C2F" w14:textId="12BD0DB3" w:rsidR="004D653F" w:rsidRPr="004D653F" w:rsidRDefault="004D653F" w:rsidP="004D653F">
      <w:pPr>
        <w:ind w:right="-1276" w:hanging="709"/>
        <w:rPr>
          <w:i/>
          <w:iCs/>
          <w:noProof/>
        </w:rPr>
      </w:pPr>
      <w:r>
        <w:rPr>
          <w:noProof/>
        </w:rPr>
        <w:tab/>
      </w:r>
      <w:r w:rsidRPr="004D653F">
        <w:rPr>
          <w:i/>
          <w:iCs/>
          <w:noProof/>
          <w:highlight w:val="yellow"/>
        </w:rPr>
        <w:t>[Ergänzen Sie hier den Abbinder Ihrer Gemeinde/Organisation]</w:t>
      </w:r>
    </w:p>
    <w:p w14:paraId="4530C62A" w14:textId="77777777" w:rsidR="004D653F" w:rsidRDefault="004D653F" w:rsidP="004D653F">
      <w:pPr>
        <w:ind w:right="-1276" w:hanging="709"/>
        <w:rPr>
          <w:noProof/>
        </w:rPr>
      </w:pPr>
    </w:p>
    <w:p w14:paraId="5BE4BEF4" w14:textId="77777777" w:rsidR="004D653F" w:rsidRPr="00F15561" w:rsidRDefault="004D653F" w:rsidP="004D653F">
      <w:pPr>
        <w:rPr>
          <w:rFonts w:cstheme="minorHAnsi"/>
          <w:i/>
          <w:iCs/>
        </w:rPr>
      </w:pPr>
      <w:r w:rsidRPr="00F15561">
        <w:rPr>
          <w:rFonts w:cstheme="minorHAnsi"/>
          <w:i/>
          <w:iCs/>
        </w:rPr>
        <w:t xml:space="preserve">Das </w:t>
      </w:r>
      <w:proofErr w:type="spellStart"/>
      <w:r w:rsidRPr="00F15561">
        <w:rPr>
          <w:rFonts w:cstheme="minorHAnsi"/>
          <w:i/>
          <w:iCs/>
        </w:rPr>
        <w:t>Godehardjahr</w:t>
      </w:r>
      <w:proofErr w:type="spellEnd"/>
      <w:r w:rsidRPr="00F15561">
        <w:rPr>
          <w:rFonts w:cstheme="minorHAnsi"/>
          <w:i/>
          <w:iCs/>
        </w:rPr>
        <w:t xml:space="preserve"> in Kürze:</w:t>
      </w:r>
    </w:p>
    <w:p w14:paraId="717E7E91" w14:textId="77777777" w:rsidR="004D653F" w:rsidRPr="00F15561" w:rsidRDefault="004D653F" w:rsidP="004D653F">
      <w:pPr>
        <w:rPr>
          <w:rFonts w:cstheme="minorHAnsi"/>
          <w:i/>
          <w:iCs/>
        </w:rPr>
      </w:pPr>
      <w:r w:rsidRPr="00F15561">
        <w:rPr>
          <w:rFonts w:cstheme="minorHAnsi"/>
          <w:i/>
          <w:iCs/>
        </w:rPr>
        <w:t xml:space="preserve">Glauben geht – </w:t>
      </w:r>
      <w:proofErr w:type="spellStart"/>
      <w:r w:rsidRPr="00F15561">
        <w:rPr>
          <w:rFonts w:cstheme="minorHAnsi"/>
          <w:i/>
          <w:iCs/>
        </w:rPr>
        <w:t>go</w:t>
      </w:r>
      <w:proofErr w:type="spellEnd"/>
      <w:r w:rsidRPr="00F15561">
        <w:rPr>
          <w:rFonts w:cstheme="minorHAnsi"/>
          <w:i/>
          <w:iCs/>
        </w:rPr>
        <w:t xml:space="preserve">! Unter diesem Motto feiert das Bistum Hildesheim anlässlich des tausendjährigen Weihejubiläums </w:t>
      </w:r>
      <w:r>
        <w:rPr>
          <w:rFonts w:cstheme="minorHAnsi"/>
          <w:i/>
          <w:iCs/>
        </w:rPr>
        <w:t>von Bischof</w:t>
      </w:r>
      <w:r w:rsidRPr="00F15561">
        <w:rPr>
          <w:rFonts w:cstheme="minorHAnsi"/>
          <w:i/>
          <w:iCs/>
        </w:rPr>
        <w:t xml:space="preserve"> Godehard vom 5. Mai 2022 bis </w:t>
      </w:r>
      <w:r>
        <w:rPr>
          <w:rFonts w:cstheme="minorHAnsi"/>
          <w:i/>
          <w:iCs/>
        </w:rPr>
        <w:t>6.</w:t>
      </w:r>
      <w:r w:rsidRPr="00F15561">
        <w:rPr>
          <w:rFonts w:cstheme="minorHAnsi"/>
          <w:i/>
          <w:iCs/>
        </w:rPr>
        <w:t xml:space="preserve"> Mai 2023 das </w:t>
      </w:r>
      <w:proofErr w:type="spellStart"/>
      <w:r w:rsidRPr="00F15561">
        <w:rPr>
          <w:rFonts w:cstheme="minorHAnsi"/>
          <w:i/>
          <w:iCs/>
        </w:rPr>
        <w:t>Godehardjahr</w:t>
      </w:r>
      <w:proofErr w:type="spellEnd"/>
      <w:r w:rsidRPr="00F15561">
        <w:rPr>
          <w:rFonts w:cstheme="minorHAnsi"/>
          <w:i/>
          <w:iCs/>
        </w:rPr>
        <w:t xml:space="preserve">. </w:t>
      </w:r>
      <w:r>
        <w:rPr>
          <w:rFonts w:cstheme="minorHAnsi"/>
          <w:i/>
          <w:iCs/>
        </w:rPr>
        <w:t xml:space="preserve">Eine Vielzahl von bistumsweiten Aktionen, Veranstaltungen, Tagungen, Projekten und spirituellen Impulsen lädt alle Gläubigen ein, in der Nachfolge Jesu und im </w:t>
      </w:r>
      <w:r>
        <w:rPr>
          <w:rFonts w:cstheme="minorHAnsi"/>
          <w:i/>
          <w:iCs/>
        </w:rPr>
        <w:lastRenderedPageBreak/>
        <w:t xml:space="preserve">Sinne des überzeugten Benediktiners Godehard an der inneren Erneuerung des Bistums mitzuwirken. </w:t>
      </w:r>
    </w:p>
    <w:p w14:paraId="1B3CA4E0" w14:textId="77777777" w:rsidR="004D653F" w:rsidRDefault="004D653F">
      <w:pPr>
        <w:rPr>
          <w:rFonts w:cs="Arial"/>
          <w:bdr w:val="none" w:sz="0" w:space="0" w:color="auto" w:frame="1"/>
          <w:shd w:val="clear" w:color="auto" w:fill="FFFFFF" w:themeFill="background1"/>
        </w:rPr>
      </w:pPr>
    </w:p>
    <w:p w14:paraId="7B6D4DC3" w14:textId="0C79265C" w:rsidR="000A7161" w:rsidRDefault="000A7161">
      <w:pPr>
        <w:rPr>
          <w:rFonts w:cs="Arial"/>
          <w:bdr w:val="none" w:sz="0" w:space="0" w:color="auto" w:frame="1"/>
          <w:shd w:val="clear" w:color="auto" w:fill="FFFFFF" w:themeFill="background1"/>
        </w:rPr>
      </w:pPr>
    </w:p>
    <w:p w14:paraId="48B42221" w14:textId="725CE627" w:rsidR="000A7161" w:rsidRDefault="001C0908" w:rsidP="001C0908">
      <w:pPr>
        <w:ind w:right="-1276" w:hanging="709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1DF5FE6" wp14:editId="1786CCF7">
            <wp:simplePos x="0" y="0"/>
            <wp:positionH relativeFrom="column">
              <wp:posOffset>-165100</wp:posOffset>
            </wp:positionH>
            <wp:positionV relativeFrom="paragraph">
              <wp:posOffset>458152</wp:posOffset>
            </wp:positionV>
            <wp:extent cx="1795145" cy="654050"/>
            <wp:effectExtent l="0" t="0" r="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5145" cy="654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EF646BC" wp14:editId="60F35D44">
            <wp:simplePos x="0" y="0"/>
            <wp:positionH relativeFrom="column">
              <wp:posOffset>1681480</wp:posOffset>
            </wp:positionH>
            <wp:positionV relativeFrom="paragraph">
              <wp:posOffset>344805</wp:posOffset>
            </wp:positionV>
            <wp:extent cx="1500188" cy="839310"/>
            <wp:effectExtent l="0" t="0" r="508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0188" cy="839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600CAC19" wp14:editId="71C557FC">
            <wp:simplePos x="0" y="0"/>
            <wp:positionH relativeFrom="column">
              <wp:posOffset>3290887</wp:posOffset>
            </wp:positionH>
            <wp:positionV relativeFrom="paragraph">
              <wp:posOffset>84773</wp:posOffset>
            </wp:positionV>
            <wp:extent cx="1404937" cy="1407284"/>
            <wp:effectExtent l="0" t="0" r="5080" b="254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4937" cy="14072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1A999311" wp14:editId="3AB44DCC">
            <wp:simplePos x="0" y="0"/>
            <wp:positionH relativeFrom="column">
              <wp:posOffset>4967288</wp:posOffset>
            </wp:positionH>
            <wp:positionV relativeFrom="paragraph">
              <wp:posOffset>402590</wp:posOffset>
            </wp:positionV>
            <wp:extent cx="975995" cy="808355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995" cy="808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E2976" w:rsidRPr="00EE2976">
        <w:rPr>
          <w:noProof/>
        </w:rPr>
        <w:t xml:space="preserve"> </w:t>
      </w:r>
      <w:r w:rsidR="003C323F" w:rsidRPr="003C323F">
        <w:rPr>
          <w:noProof/>
        </w:rPr>
        <w:t xml:space="preserve"> </w:t>
      </w:r>
      <w:r w:rsidRPr="001C0908">
        <w:rPr>
          <w:noProof/>
        </w:rPr>
        <w:t xml:space="preserve"> </w:t>
      </w:r>
    </w:p>
    <w:p w14:paraId="70F65B81" w14:textId="5D9AB9B4" w:rsidR="004D653F" w:rsidRDefault="004D653F" w:rsidP="001C0908">
      <w:pPr>
        <w:ind w:right="-1276" w:hanging="709"/>
        <w:rPr>
          <w:noProof/>
        </w:rPr>
      </w:pPr>
    </w:p>
    <w:p w14:paraId="13D3290D" w14:textId="26DA9876" w:rsidR="004D653F" w:rsidRDefault="004D653F" w:rsidP="001C0908">
      <w:pPr>
        <w:ind w:right="-1276" w:hanging="709"/>
        <w:rPr>
          <w:noProof/>
        </w:rPr>
      </w:pPr>
    </w:p>
    <w:p w14:paraId="2B17BE4F" w14:textId="48ECB590" w:rsidR="004D653F" w:rsidRDefault="004D653F" w:rsidP="001C0908">
      <w:pPr>
        <w:ind w:right="-1276" w:hanging="709"/>
        <w:rPr>
          <w:noProof/>
        </w:rPr>
      </w:pPr>
    </w:p>
    <w:p w14:paraId="3BFE3F7D" w14:textId="23D660A6" w:rsidR="004D653F" w:rsidRDefault="004D653F" w:rsidP="001C0908">
      <w:pPr>
        <w:ind w:right="-1276" w:hanging="709"/>
        <w:rPr>
          <w:noProof/>
        </w:rPr>
      </w:pPr>
    </w:p>
    <w:p w14:paraId="724689A8" w14:textId="171BEB91" w:rsidR="004D653F" w:rsidRDefault="004D653F" w:rsidP="001C0908">
      <w:pPr>
        <w:ind w:right="-1276" w:hanging="709"/>
        <w:rPr>
          <w:noProof/>
        </w:rPr>
      </w:pPr>
    </w:p>
    <w:p w14:paraId="4D70C882" w14:textId="77777777" w:rsidR="004D653F" w:rsidRPr="000A7161" w:rsidRDefault="004D653F" w:rsidP="001C0908">
      <w:pPr>
        <w:ind w:right="-1276" w:hanging="709"/>
        <w:rPr>
          <w:b/>
          <w:bCs/>
        </w:rPr>
      </w:pPr>
    </w:p>
    <w:sectPr w:rsidR="004D653F" w:rsidRPr="000A716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DB6B0" w14:textId="77777777" w:rsidR="004D653F" w:rsidRDefault="004D653F" w:rsidP="004D653F">
      <w:pPr>
        <w:spacing w:after="0" w:line="240" w:lineRule="auto"/>
      </w:pPr>
      <w:r>
        <w:separator/>
      </w:r>
    </w:p>
  </w:endnote>
  <w:endnote w:type="continuationSeparator" w:id="0">
    <w:p w14:paraId="7319A0BC" w14:textId="77777777" w:rsidR="004D653F" w:rsidRDefault="004D653F" w:rsidP="004D6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067FA" w14:textId="77777777" w:rsidR="004D653F" w:rsidRDefault="004D653F" w:rsidP="004D653F">
      <w:pPr>
        <w:spacing w:after="0" w:line="240" w:lineRule="auto"/>
      </w:pPr>
      <w:r>
        <w:separator/>
      </w:r>
    </w:p>
  </w:footnote>
  <w:footnote w:type="continuationSeparator" w:id="0">
    <w:p w14:paraId="6DBE63B0" w14:textId="77777777" w:rsidR="004D653F" w:rsidRDefault="004D653F" w:rsidP="004D65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F66"/>
    <w:rsid w:val="000A7161"/>
    <w:rsid w:val="000D7C43"/>
    <w:rsid w:val="00123BB9"/>
    <w:rsid w:val="001C0908"/>
    <w:rsid w:val="001C1EB7"/>
    <w:rsid w:val="002E77DB"/>
    <w:rsid w:val="003039E7"/>
    <w:rsid w:val="003206A7"/>
    <w:rsid w:val="00360C76"/>
    <w:rsid w:val="003C323F"/>
    <w:rsid w:val="00421B14"/>
    <w:rsid w:val="00447313"/>
    <w:rsid w:val="004D653F"/>
    <w:rsid w:val="005021D8"/>
    <w:rsid w:val="0050764D"/>
    <w:rsid w:val="005C637E"/>
    <w:rsid w:val="006201CE"/>
    <w:rsid w:val="006B5C85"/>
    <w:rsid w:val="007024CF"/>
    <w:rsid w:val="007A215A"/>
    <w:rsid w:val="00834E30"/>
    <w:rsid w:val="00954F3C"/>
    <w:rsid w:val="00B26F66"/>
    <w:rsid w:val="00B70D2B"/>
    <w:rsid w:val="00BD5C37"/>
    <w:rsid w:val="00C76011"/>
    <w:rsid w:val="00D12A83"/>
    <w:rsid w:val="00D8513A"/>
    <w:rsid w:val="00DD5DD5"/>
    <w:rsid w:val="00E03AC3"/>
    <w:rsid w:val="00EE2976"/>
    <w:rsid w:val="00F45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2B0ED"/>
  <w15:chartTrackingRefBased/>
  <w15:docId w15:val="{F02F9A5F-470A-45D9-A971-317822C58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1C1EB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C1EB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C1EB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C1EB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C1EB7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E03AC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03AC3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4D6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653F"/>
  </w:style>
  <w:style w:type="paragraph" w:styleId="Fuzeile">
    <w:name w:val="footer"/>
    <w:basedOn w:val="Standard"/>
    <w:link w:val="FuzeileZchn"/>
    <w:uiPriority w:val="99"/>
    <w:unhideWhenUsed/>
    <w:rsid w:val="004D6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6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43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solitafeln@godehardjahr.d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dehardjahr.de/solitafeln" TargetMode="External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Koch, Svenja</dc:creator>
  <cp:keywords/>
  <dc:description/>
  <cp:lastModifiedBy>Schade, Julia</cp:lastModifiedBy>
  <cp:revision>5</cp:revision>
  <dcterms:created xsi:type="dcterms:W3CDTF">2022-05-23T15:57:00Z</dcterms:created>
  <dcterms:modified xsi:type="dcterms:W3CDTF">2022-06-02T12:51:00Z</dcterms:modified>
</cp:coreProperties>
</file>